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F4806" w14:textId="19EA315E" w:rsidR="00F77C50" w:rsidRPr="00EB5D42" w:rsidRDefault="00F77C50" w:rsidP="00F77C50">
      <w:pPr>
        <w:rPr>
          <w:rFonts w:cstheme="minorHAnsi"/>
          <w:color w:val="000000"/>
          <w:shd w:val="clear" w:color="auto" w:fill="FFFFFF"/>
        </w:rPr>
      </w:pPr>
      <w:r w:rsidRPr="00EB5D42">
        <w:rPr>
          <w:rFonts w:cstheme="minorHAnsi"/>
        </w:rPr>
        <w:t>The</w:t>
      </w:r>
      <w:r w:rsidRPr="00EB5D42">
        <w:rPr>
          <w:rFonts w:cstheme="minorHAnsi"/>
          <w:color w:val="000000"/>
          <w:shd w:val="clear" w:color="auto" w:fill="FFFFFF"/>
        </w:rPr>
        <w:t xml:space="preserve"> </w:t>
      </w:r>
      <w:r w:rsidRPr="00EB5D42">
        <w:rPr>
          <w:rFonts w:cstheme="minorHAnsi"/>
          <w:b/>
          <w:bCs/>
          <w:color w:val="000000"/>
        </w:rPr>
        <w:t>Active Investment Company Alliance conference</w:t>
      </w:r>
      <w:r w:rsidRPr="00EB5D42">
        <w:rPr>
          <w:rFonts w:cstheme="minorHAnsi"/>
          <w:color w:val="000000"/>
          <w:shd w:val="clear" w:color="auto" w:fill="FFFFFF"/>
        </w:rPr>
        <w:t xml:space="preserve"> that will be held in New York City on November 6</w:t>
      </w:r>
      <w:r w:rsidRPr="00EB5D42">
        <w:rPr>
          <w:rFonts w:cstheme="minorHAnsi"/>
          <w:color w:val="000000"/>
          <w:shd w:val="clear" w:color="auto" w:fill="FFFFFF"/>
          <w:vertAlign w:val="superscript"/>
        </w:rPr>
        <w:t>th</w:t>
      </w:r>
      <w:r>
        <w:rPr>
          <w:rFonts w:cstheme="minorHAnsi"/>
          <w:color w:val="000000"/>
          <w:shd w:val="clear" w:color="auto" w:fill="FFFFFF"/>
          <w:vertAlign w:val="superscript"/>
        </w:rPr>
        <w:t xml:space="preserve"> </w:t>
      </w:r>
      <w:r w:rsidRPr="00EB5D42">
        <w:rPr>
          <w:rFonts w:cstheme="minorHAnsi"/>
          <w:color w:val="000000"/>
          <w:shd w:val="clear" w:color="auto" w:fill="FFFFFF"/>
        </w:rPr>
        <w:t xml:space="preserve"> </w:t>
      </w:r>
      <w:r>
        <w:rPr>
          <w:rFonts w:cstheme="minorHAnsi"/>
          <w:color w:val="000000"/>
          <w:shd w:val="clear" w:color="auto" w:fill="FFFFFF"/>
        </w:rPr>
        <w:t>is s</w:t>
      </w:r>
      <w:r w:rsidRPr="00EB5D42">
        <w:rPr>
          <w:rFonts w:cstheme="minorHAnsi"/>
          <w:color w:val="000000"/>
          <w:shd w:val="clear" w:color="auto" w:fill="FFFFFF"/>
        </w:rPr>
        <w:t xml:space="preserve">pecifically designed for advisors interested in closed-end funds (CEFs), business development companies (BDCs) and interval funds, the conference boasts a diverse and top-notch speaker line-up: Conference Page: </w:t>
      </w:r>
      <w:hyperlink r:id="rId6" w:tgtFrame="_blank" w:history="1">
        <w:r w:rsidRPr="00EB5D42">
          <w:rPr>
            <w:rStyle w:val="Hyperlink"/>
            <w:rFonts w:cstheme="minorHAnsi"/>
            <w:color w:val="1155CC"/>
          </w:rPr>
          <w:t>www.AICalliance.org/NYC2019Event</w:t>
        </w:r>
      </w:hyperlink>
      <w:r w:rsidRPr="00EB5D42">
        <w:rPr>
          <w:rFonts w:cstheme="minorHAnsi"/>
          <w:color w:val="000000"/>
          <w:shd w:val="clear" w:color="auto" w:fill="FFFFFF"/>
        </w:rPr>
        <w:t xml:space="preserve">    </w:t>
      </w:r>
    </w:p>
    <w:p w14:paraId="566AF9ED" w14:textId="77777777" w:rsidR="00F77C50" w:rsidRPr="00EB5D42" w:rsidRDefault="00F77C50" w:rsidP="00F77C50">
      <w:pPr>
        <w:rPr>
          <w:rFonts w:cstheme="minorHAnsi"/>
        </w:rPr>
      </w:pPr>
      <w:r w:rsidRPr="00EB5D42">
        <w:rPr>
          <w:rFonts w:cstheme="minorHAnsi"/>
          <w:color w:val="000000"/>
          <w:shd w:val="clear" w:color="auto" w:fill="FFFFFF"/>
        </w:rPr>
        <w:t>The</w:t>
      </w:r>
      <w:r w:rsidRPr="00EB5D42">
        <w:rPr>
          <w:rFonts w:cstheme="minorHAnsi"/>
        </w:rPr>
        <w:t xml:space="preserve"> event will highlight topics such as:</w:t>
      </w:r>
    </w:p>
    <w:p w14:paraId="6102DA94" w14:textId="77777777" w:rsidR="00F77C50" w:rsidRPr="00EB5D42" w:rsidRDefault="00F77C50" w:rsidP="00F77C50">
      <w:pPr>
        <w:pStyle w:val="ListParagraph"/>
        <w:numPr>
          <w:ilvl w:val="0"/>
          <w:numId w:val="1"/>
        </w:numPr>
        <w:rPr>
          <w:rFonts w:cstheme="minorHAnsi"/>
          <w:color w:val="000000"/>
          <w:shd w:val="clear" w:color="auto" w:fill="FFFFFF"/>
        </w:rPr>
      </w:pPr>
      <w:r w:rsidRPr="00EB5D42">
        <w:rPr>
          <w:rFonts w:cstheme="minorHAnsi"/>
        </w:rPr>
        <w:t xml:space="preserve">How institutions and traders handle moving large buy and sell order in the market efficiently. </w:t>
      </w:r>
    </w:p>
    <w:p w14:paraId="458845AB" w14:textId="6666C095" w:rsidR="00F77C50" w:rsidRPr="00EB5D42" w:rsidRDefault="00F77C50" w:rsidP="00F77C50">
      <w:pPr>
        <w:pStyle w:val="ListParagraph"/>
        <w:numPr>
          <w:ilvl w:val="0"/>
          <w:numId w:val="1"/>
        </w:numPr>
        <w:rPr>
          <w:rFonts w:cstheme="minorHAnsi"/>
          <w:color w:val="000000"/>
          <w:shd w:val="clear" w:color="auto" w:fill="FFFFFF"/>
        </w:rPr>
      </w:pPr>
      <w:r w:rsidRPr="00EB5D42">
        <w:rPr>
          <w:rFonts w:cstheme="minorHAnsi"/>
          <w:color w:val="000000"/>
          <w:shd w:val="clear" w:color="auto" w:fill="FFFFFF"/>
        </w:rPr>
        <w:t xml:space="preserve">Learn from specialists in Business Development Companies (BDC's) how to analyze and rate the managers, specifically why premiums can be good, and discounts can be bad for some funds that often yield 7% to 9%+. </w:t>
      </w:r>
    </w:p>
    <w:p w14:paraId="17E58C29" w14:textId="43CB9E1A" w:rsidR="00F77C50" w:rsidRPr="00EB5D42" w:rsidRDefault="00732C7E" w:rsidP="00F77C50">
      <w:pPr>
        <w:pStyle w:val="ListParagraph"/>
        <w:numPr>
          <w:ilvl w:val="0"/>
          <w:numId w:val="1"/>
        </w:numPr>
        <w:rPr>
          <w:rFonts w:cstheme="minorHAnsi"/>
          <w:color w:val="000000"/>
          <w:shd w:val="clear" w:color="auto" w:fill="FFFFFF"/>
        </w:rPr>
      </w:pPr>
      <w:r>
        <w:rPr>
          <w:rFonts w:cstheme="minorHAnsi"/>
          <w:color w:val="000000"/>
          <w:shd w:val="clear" w:color="auto" w:fill="FFFFFF"/>
        </w:rPr>
        <w:t>Interval Funds</w:t>
      </w:r>
      <w:r w:rsidR="00F77C50" w:rsidRPr="00EB5D42">
        <w:rPr>
          <w:rFonts w:cstheme="minorHAnsi"/>
          <w:color w:val="000000"/>
          <w:shd w:val="clear" w:color="auto" w:fill="FFFFFF"/>
        </w:rPr>
        <w:t xml:space="preserve"> have had a 300%+ growth in the past 5 years, to almost 160 active funds with $77 Billion in combined $AUM. Why are interval (and tender offer) funds so becoming so popular</w:t>
      </w:r>
      <w:r>
        <w:rPr>
          <w:rFonts w:cstheme="minorHAnsi"/>
          <w:color w:val="000000"/>
          <w:shd w:val="clear" w:color="auto" w:fill="FFFFFF"/>
        </w:rPr>
        <w:t xml:space="preserve"> for alternative </w:t>
      </w:r>
      <w:proofErr w:type="spellStart"/>
      <w:r>
        <w:rPr>
          <w:rFonts w:cstheme="minorHAnsi"/>
          <w:color w:val="000000"/>
          <w:shd w:val="clear" w:color="auto" w:fill="FFFFFF"/>
        </w:rPr>
        <w:t>investmenting</w:t>
      </w:r>
      <w:proofErr w:type="spellEnd"/>
      <w:r w:rsidR="00F77C50" w:rsidRPr="00EB5D42">
        <w:rPr>
          <w:rFonts w:cstheme="minorHAnsi"/>
          <w:color w:val="000000"/>
          <w:shd w:val="clear" w:color="auto" w:fill="FFFFFF"/>
        </w:rPr>
        <w:t>?</w:t>
      </w:r>
    </w:p>
    <w:p w14:paraId="5C3ECEF8" w14:textId="77777777" w:rsidR="00F77C50" w:rsidRPr="00EB5D42" w:rsidRDefault="00F77C50" w:rsidP="00F77C50">
      <w:pPr>
        <w:rPr>
          <w:rFonts w:cstheme="minorHAnsi"/>
          <w:color w:val="000000"/>
          <w:shd w:val="clear" w:color="auto" w:fill="FFFFFF"/>
        </w:rPr>
      </w:pPr>
      <w:r w:rsidRPr="00EB5D42">
        <w:rPr>
          <w:rFonts w:cstheme="minorHAnsi"/>
          <w:color w:val="000000"/>
          <w:shd w:val="clear" w:color="auto" w:fill="FFFFFF"/>
        </w:rPr>
        <w:t xml:space="preserve">The event will feature 7 Panels and 3 presentations and has been approved for 7 CE Credits from the CFP board. </w:t>
      </w:r>
    </w:p>
    <w:p w14:paraId="7096E445" w14:textId="77777777" w:rsidR="00F77C50" w:rsidRPr="00EB5D42" w:rsidRDefault="00F77C50" w:rsidP="00F77C50">
      <w:pPr>
        <w:rPr>
          <w:rFonts w:cstheme="minorHAnsi"/>
        </w:rPr>
      </w:pPr>
      <w:r w:rsidRPr="00EB5D42">
        <w:rPr>
          <w:rFonts w:cstheme="minorHAnsi"/>
          <w:color w:val="000000"/>
          <w:shd w:val="clear" w:color="auto" w:fill="FFFFFF"/>
        </w:rPr>
        <w:t xml:space="preserve">Here is a small sample of what you can expect from our 30+ presenters:   </w:t>
      </w:r>
    </w:p>
    <w:p w14:paraId="67C025A6" w14:textId="77777777" w:rsidR="00F77C50" w:rsidRPr="00866A80" w:rsidRDefault="00F77C50" w:rsidP="00F77C50">
      <w:pPr>
        <w:spacing w:after="0" w:line="240" w:lineRule="auto"/>
        <w:jc w:val="both"/>
        <w:rPr>
          <w:rFonts w:eastAsia="Times New Roman" w:cstheme="minorHAnsi"/>
          <w:i/>
          <w:iCs/>
        </w:rPr>
      </w:pPr>
      <w:r w:rsidRPr="00866A80">
        <w:rPr>
          <w:rFonts w:eastAsia="Times New Roman" w:cstheme="minorHAnsi"/>
          <w:i/>
          <w:iCs/>
          <w:color w:val="000000"/>
          <w:shd w:val="clear" w:color="auto" w:fill="FFFFFF"/>
        </w:rPr>
        <w:t xml:space="preserve">“Nasdaq continues to make it </w:t>
      </w:r>
      <w:proofErr w:type="gramStart"/>
      <w:r w:rsidRPr="00866A80">
        <w:rPr>
          <w:rFonts w:eastAsia="Times New Roman" w:cstheme="minorHAnsi"/>
          <w:i/>
          <w:iCs/>
          <w:color w:val="000000"/>
          <w:shd w:val="clear" w:color="auto" w:fill="FFFFFF"/>
        </w:rPr>
        <w:t>welcoming</w:t>
      </w:r>
      <w:proofErr w:type="gramEnd"/>
      <w:r w:rsidRPr="00866A80">
        <w:rPr>
          <w:rFonts w:eastAsia="Times New Roman" w:cstheme="minorHAnsi"/>
          <w:i/>
          <w:iCs/>
          <w:color w:val="000000"/>
          <w:shd w:val="clear" w:color="auto" w:fill="FFFFFF"/>
        </w:rPr>
        <w:t xml:space="preserve"> for BDCs &amp; CEFs to list with a much lower listing fee schedule than for normal corporate common stock.  There is a significant listing fee savings for CEFs families, and newly listed BDCs receive a suite of IR services with the Listing.” </w:t>
      </w:r>
    </w:p>
    <w:p w14:paraId="51713170" w14:textId="77777777" w:rsidR="00F77C50" w:rsidRPr="00866A80" w:rsidRDefault="00F77C50" w:rsidP="00F77C50">
      <w:pPr>
        <w:spacing w:after="0" w:line="240" w:lineRule="auto"/>
        <w:jc w:val="both"/>
        <w:rPr>
          <w:rFonts w:eastAsia="Times New Roman" w:cstheme="minorHAnsi"/>
          <w:b/>
          <w:bCs/>
          <w:color w:val="000000"/>
        </w:rPr>
      </w:pPr>
      <w:r w:rsidRPr="00EB5D42">
        <w:rPr>
          <w:rFonts w:eastAsia="Times New Roman" w:cstheme="minorHAnsi"/>
          <w:color w:val="000000"/>
        </w:rPr>
        <w:br/>
      </w:r>
      <w:r w:rsidRPr="00EB5D42">
        <w:rPr>
          <w:rFonts w:eastAsia="Times New Roman" w:cstheme="minorHAnsi"/>
          <w:b/>
          <w:bCs/>
          <w:color w:val="000000"/>
        </w:rPr>
        <w:t>-</w:t>
      </w:r>
      <w:r w:rsidRPr="00866A80">
        <w:rPr>
          <w:rFonts w:eastAsia="Times New Roman" w:cstheme="minorHAnsi"/>
          <w:b/>
          <w:bCs/>
          <w:color w:val="000000"/>
        </w:rPr>
        <w:t>Andy Hall</w:t>
      </w:r>
      <w:r w:rsidRPr="00EB5D42">
        <w:rPr>
          <w:rFonts w:eastAsia="Times New Roman" w:cstheme="minorHAnsi"/>
          <w:b/>
          <w:bCs/>
          <w:color w:val="000000"/>
        </w:rPr>
        <w:t>, M</w:t>
      </w:r>
      <w:r w:rsidRPr="00866A80">
        <w:rPr>
          <w:rFonts w:eastAsia="Times New Roman" w:cstheme="minorHAnsi"/>
          <w:b/>
          <w:bCs/>
          <w:color w:val="000000"/>
        </w:rPr>
        <w:t>anaging Director</w:t>
      </w:r>
      <w:r w:rsidRPr="00EB5D42">
        <w:rPr>
          <w:rFonts w:eastAsia="Times New Roman" w:cstheme="minorHAnsi"/>
          <w:b/>
          <w:bCs/>
          <w:color w:val="000000"/>
        </w:rPr>
        <w:t xml:space="preserve">, </w:t>
      </w:r>
      <w:r w:rsidRPr="00866A80">
        <w:rPr>
          <w:rFonts w:eastAsia="Times New Roman" w:cstheme="minorHAnsi"/>
          <w:b/>
          <w:bCs/>
          <w:color w:val="000000"/>
        </w:rPr>
        <w:t>Nasdaq New Listings</w:t>
      </w:r>
    </w:p>
    <w:p w14:paraId="7E82713F" w14:textId="77777777" w:rsidR="00F77C50" w:rsidRPr="00EB5D42" w:rsidRDefault="00F77C50" w:rsidP="00F77C50">
      <w:pPr>
        <w:rPr>
          <w:rFonts w:cstheme="minorHAnsi"/>
          <w:i/>
          <w:iCs/>
        </w:rPr>
      </w:pPr>
    </w:p>
    <w:p w14:paraId="6D3F7CBD" w14:textId="77777777" w:rsidR="00F77C50" w:rsidRPr="00EB5D42" w:rsidRDefault="00F77C50" w:rsidP="00F77C50">
      <w:pPr>
        <w:rPr>
          <w:rFonts w:cstheme="minorHAnsi"/>
          <w:i/>
          <w:iCs/>
        </w:rPr>
      </w:pPr>
      <w:r w:rsidRPr="00EB5D42">
        <w:rPr>
          <w:rFonts w:cstheme="minorHAnsi"/>
          <w:i/>
          <w:iCs/>
        </w:rPr>
        <w:t xml:space="preserve">“Conference attendees will learn about the key factors necessary to analyze and trade closed-end funds, including how successful institutional </w:t>
      </w:r>
      <w:r w:rsidRPr="00EB5D42">
        <w:rPr>
          <w:rFonts w:cstheme="minorHAnsi"/>
          <w:i/>
          <w:iCs/>
        </w:rPr>
        <w:t>investors weigh the power of discount mean reversion, project the odds of success of activist approaches, and source liquidity when trading.”</w:t>
      </w:r>
    </w:p>
    <w:p w14:paraId="37A14C6E" w14:textId="77777777" w:rsidR="00F77C50" w:rsidRPr="00EB5D42" w:rsidRDefault="00F77C50" w:rsidP="00F77C50">
      <w:pPr>
        <w:rPr>
          <w:rFonts w:cstheme="minorHAnsi"/>
          <w:b/>
          <w:bCs/>
        </w:rPr>
      </w:pPr>
      <w:r w:rsidRPr="00EB5D42">
        <w:rPr>
          <w:rFonts w:cstheme="minorHAnsi"/>
          <w:b/>
          <w:bCs/>
        </w:rPr>
        <w:t>-Eric Boughton, Portfolio Manager, Matisse Capital</w:t>
      </w:r>
    </w:p>
    <w:p w14:paraId="41FDF5D9" w14:textId="77777777" w:rsidR="00F77C50" w:rsidRPr="00EB5D42" w:rsidRDefault="00F77C50" w:rsidP="00F77C50">
      <w:pPr>
        <w:rPr>
          <w:rFonts w:cstheme="minorHAnsi"/>
        </w:rPr>
      </w:pPr>
      <w:r w:rsidRPr="00EB5D42">
        <w:rPr>
          <w:rFonts w:cstheme="minorHAnsi"/>
        </w:rPr>
        <w:br/>
      </w:r>
      <w:r w:rsidRPr="00EB5D42">
        <w:rPr>
          <w:rFonts w:cstheme="minorHAnsi"/>
          <w:i/>
          <w:iCs/>
        </w:rPr>
        <w:t>“BDCs are a gift to credit nerds. Their portfolios are sitting there in broad daylight. Attendees will learn how to comb investments for direct lending mandates, pricing insights, distressed opportunities and more.”</w:t>
      </w:r>
      <w:r w:rsidRPr="00EB5D42">
        <w:rPr>
          <w:rFonts w:cstheme="minorHAnsi"/>
        </w:rPr>
        <w:t xml:space="preserve"> </w:t>
      </w:r>
    </w:p>
    <w:p w14:paraId="46CD5029" w14:textId="77777777" w:rsidR="00F77C50" w:rsidRPr="00EB5D42" w:rsidRDefault="00F77C50" w:rsidP="00F77C50">
      <w:pPr>
        <w:rPr>
          <w:rFonts w:cstheme="minorHAnsi"/>
          <w:b/>
          <w:bCs/>
        </w:rPr>
      </w:pPr>
      <w:r w:rsidRPr="00EB5D42">
        <w:rPr>
          <w:rFonts w:cstheme="minorHAnsi"/>
          <w:b/>
          <w:bCs/>
        </w:rPr>
        <w:t>-Kelly Thompson, Founder &amp; Editor, Direct Lending Deals. </w:t>
      </w:r>
      <w:r w:rsidRPr="00EB5D42">
        <w:rPr>
          <w:rFonts w:cstheme="minorHAnsi"/>
          <w:b/>
          <w:bCs/>
        </w:rPr>
        <w:br/>
      </w:r>
    </w:p>
    <w:p w14:paraId="4D8915ED" w14:textId="77777777" w:rsidR="00F77C50" w:rsidRPr="00EB5D42" w:rsidRDefault="00F77C50" w:rsidP="00F77C50">
      <w:pPr>
        <w:rPr>
          <w:rFonts w:cstheme="minorHAnsi"/>
          <w:i/>
          <w:iCs/>
        </w:rPr>
      </w:pPr>
      <w:r w:rsidRPr="00EB5D42">
        <w:rPr>
          <w:rFonts w:cstheme="minorHAnsi"/>
          <w:i/>
          <w:iCs/>
        </w:rPr>
        <w:t>“At the Alternative Income session, attendees will learn about different asset classes that help generate income or capital appreciation for portfolios and provide diversity and noncorrelation of returns.”</w:t>
      </w:r>
    </w:p>
    <w:p w14:paraId="1F1B078E" w14:textId="77777777" w:rsidR="00F77C50" w:rsidRPr="00EB5D42" w:rsidRDefault="00F77C50" w:rsidP="00F77C50">
      <w:pPr>
        <w:rPr>
          <w:rFonts w:cstheme="minorHAnsi"/>
          <w:b/>
          <w:bCs/>
        </w:rPr>
      </w:pPr>
      <w:r w:rsidRPr="00EB5D42">
        <w:rPr>
          <w:rFonts w:cstheme="minorHAnsi"/>
          <w:b/>
          <w:bCs/>
        </w:rPr>
        <w:t>-Tony Huang, Director, Advent Capital Management</w:t>
      </w:r>
    </w:p>
    <w:p w14:paraId="6AFD9FFC" w14:textId="77777777" w:rsidR="00F77C50" w:rsidRPr="00EB5D42" w:rsidRDefault="00F77C50" w:rsidP="00F77C50">
      <w:pPr>
        <w:spacing w:after="0" w:line="240" w:lineRule="auto"/>
        <w:rPr>
          <w:rFonts w:eastAsia="Times New Roman" w:cstheme="minorHAnsi"/>
          <w:i/>
          <w:iCs/>
          <w:color w:val="222222"/>
        </w:rPr>
      </w:pPr>
      <w:r w:rsidRPr="00EB5D42">
        <w:rPr>
          <w:rFonts w:eastAsia="Times New Roman" w:cstheme="minorHAnsi"/>
          <w:i/>
          <w:iCs/>
          <w:color w:val="222222"/>
        </w:rPr>
        <w:t>“Takeaway: Sources for Higher Total Returns and Opportunities to Access Alternatives that Cannot Be Accessed via Mutual Funds and ETFs”</w:t>
      </w:r>
    </w:p>
    <w:p w14:paraId="1EEF78BD" w14:textId="77777777" w:rsidR="00F77C50" w:rsidRPr="00EB5D42" w:rsidRDefault="00F77C50" w:rsidP="00F77C50">
      <w:pPr>
        <w:spacing w:after="0" w:line="240" w:lineRule="auto"/>
        <w:rPr>
          <w:rFonts w:eastAsia="Times New Roman" w:cstheme="minorHAnsi"/>
          <w:color w:val="222222"/>
        </w:rPr>
      </w:pPr>
    </w:p>
    <w:p w14:paraId="63F7BD9B" w14:textId="77777777" w:rsidR="00F77C50" w:rsidRPr="00EB5D42" w:rsidRDefault="00F77C50" w:rsidP="00F77C50">
      <w:pPr>
        <w:spacing w:after="0" w:line="240" w:lineRule="auto"/>
        <w:rPr>
          <w:rFonts w:eastAsia="Times New Roman" w:cstheme="minorHAnsi"/>
          <w:b/>
          <w:bCs/>
          <w:color w:val="222222"/>
        </w:rPr>
      </w:pPr>
      <w:r w:rsidRPr="00EB5D42">
        <w:rPr>
          <w:rFonts w:eastAsia="Times New Roman" w:cstheme="minorHAnsi"/>
          <w:b/>
          <w:bCs/>
          <w:color w:val="222222"/>
        </w:rPr>
        <w:t>-Kimberly Flynn, Managing Director, XA Investments </w:t>
      </w:r>
    </w:p>
    <w:p w14:paraId="3231C012" w14:textId="77777777" w:rsidR="00F77C50" w:rsidRPr="00EB5D42" w:rsidRDefault="00F77C50" w:rsidP="00F77C50">
      <w:pPr>
        <w:rPr>
          <w:rFonts w:cstheme="minorHAnsi"/>
          <w:b/>
          <w:bCs/>
        </w:rPr>
      </w:pPr>
    </w:p>
    <w:p w14:paraId="39A2476F" w14:textId="77777777" w:rsidR="00F77C50" w:rsidRPr="00EB5D42" w:rsidRDefault="00F77C50" w:rsidP="00F77C50">
      <w:pPr>
        <w:rPr>
          <w:rFonts w:cstheme="minorHAnsi"/>
          <w:i/>
          <w:iCs/>
        </w:rPr>
      </w:pPr>
      <w:r w:rsidRPr="00EB5D42">
        <w:rPr>
          <w:rFonts w:cstheme="minorHAnsi"/>
          <w:i/>
          <w:iCs/>
        </w:rPr>
        <w:t>“The CEF IPO structure has changed dramatically in the last year and now addresses many of the objections to buying on the IPO.  This has reopened the IPO market and will hopefully lead to a robust calendar of new and innovative strategies coming to market”.  </w:t>
      </w:r>
    </w:p>
    <w:p w14:paraId="219B3F73" w14:textId="77777777" w:rsidR="00F77C50" w:rsidRPr="00EB5D42" w:rsidRDefault="00F77C50" w:rsidP="00F77C50">
      <w:pPr>
        <w:rPr>
          <w:rFonts w:cstheme="minorHAnsi"/>
          <w:b/>
          <w:bCs/>
        </w:rPr>
      </w:pPr>
      <w:r w:rsidRPr="00EB5D42">
        <w:rPr>
          <w:rFonts w:cstheme="minorHAnsi"/>
          <w:b/>
          <w:bCs/>
        </w:rPr>
        <w:t xml:space="preserve">-Jerry R. </w:t>
      </w:r>
      <w:proofErr w:type="spellStart"/>
      <w:r w:rsidRPr="00EB5D42">
        <w:rPr>
          <w:rFonts w:cstheme="minorHAnsi"/>
          <w:b/>
          <w:bCs/>
        </w:rPr>
        <w:t>Raio</w:t>
      </w:r>
      <w:proofErr w:type="spellEnd"/>
      <w:r w:rsidRPr="00EB5D42">
        <w:rPr>
          <w:rFonts w:cstheme="minorHAnsi"/>
          <w:b/>
          <w:bCs/>
        </w:rPr>
        <w:t>, Arbor Lane Advisors, Inc. President and CEO  </w:t>
      </w:r>
    </w:p>
    <w:p w14:paraId="5BDDD540" w14:textId="77777777" w:rsidR="00F77C50" w:rsidRPr="00EB5D42" w:rsidRDefault="00F77C50" w:rsidP="00F77C50">
      <w:pPr>
        <w:rPr>
          <w:rFonts w:cstheme="minorHAnsi"/>
          <w:i/>
          <w:iCs/>
        </w:rPr>
      </w:pPr>
      <w:r w:rsidRPr="00EB5D42">
        <w:rPr>
          <w:rFonts w:cstheme="minorHAnsi"/>
          <w:i/>
          <w:iCs/>
        </w:rPr>
        <w:t xml:space="preserve">“Attendees will get a unique insight from a BDC industry veteran about the dramatic changes underway in the BDC sector that will drastically change, within the space of the next two years, </w:t>
      </w:r>
      <w:r w:rsidRPr="00EB5D42">
        <w:rPr>
          <w:rFonts w:cstheme="minorHAnsi"/>
          <w:i/>
          <w:iCs/>
        </w:rPr>
        <w:lastRenderedPageBreak/>
        <w:t>the size, composition and focus of the industry, and will just as radically alter the risk-return dynamics for investors.” </w:t>
      </w:r>
    </w:p>
    <w:p w14:paraId="684AD41C" w14:textId="77777777" w:rsidR="00F77C50" w:rsidRPr="00EB5D42" w:rsidRDefault="00F77C50" w:rsidP="00F77C50">
      <w:pPr>
        <w:rPr>
          <w:rFonts w:cstheme="minorHAnsi"/>
          <w:b/>
          <w:bCs/>
        </w:rPr>
      </w:pPr>
      <w:r w:rsidRPr="00EB5D42">
        <w:rPr>
          <w:rFonts w:cstheme="minorHAnsi"/>
          <w:b/>
          <w:bCs/>
        </w:rPr>
        <w:t xml:space="preserve">-Nicholas </w:t>
      </w:r>
      <w:proofErr w:type="spellStart"/>
      <w:r w:rsidRPr="00EB5D42">
        <w:rPr>
          <w:rFonts w:cstheme="minorHAnsi"/>
          <w:b/>
          <w:bCs/>
        </w:rPr>
        <w:t>Marshi</w:t>
      </w:r>
      <w:proofErr w:type="spellEnd"/>
      <w:r w:rsidRPr="00EB5D42">
        <w:rPr>
          <w:rFonts w:cstheme="minorHAnsi"/>
          <w:b/>
          <w:bCs/>
        </w:rPr>
        <w:t>, Publisher, BDC Reporter </w:t>
      </w:r>
    </w:p>
    <w:p w14:paraId="19B82A8A" w14:textId="77777777" w:rsidR="00F77C50" w:rsidRPr="00EB5D42" w:rsidRDefault="00F77C50" w:rsidP="00F77C50">
      <w:pPr>
        <w:rPr>
          <w:rFonts w:cstheme="minorHAnsi"/>
          <w:i/>
          <w:iCs/>
        </w:rPr>
      </w:pPr>
      <w:r w:rsidRPr="00EB5D42">
        <w:rPr>
          <w:rFonts w:cstheme="minorHAnsi"/>
          <w:i/>
          <w:iCs/>
        </w:rPr>
        <w:t xml:space="preserve"> “BDCs are arguably exceptionally attractive investment opportunities, provided investors conduct a deep dive on research and understand the business model and the risk taken vs. the reward of the total return”</w:t>
      </w:r>
    </w:p>
    <w:p w14:paraId="4944A6FB" w14:textId="77777777" w:rsidR="00F77C50" w:rsidRPr="00EB5D42" w:rsidRDefault="00F77C50" w:rsidP="00F77C50">
      <w:pPr>
        <w:rPr>
          <w:rFonts w:cstheme="minorHAnsi"/>
          <w:b/>
          <w:bCs/>
        </w:rPr>
      </w:pPr>
      <w:r w:rsidRPr="00EB5D42">
        <w:rPr>
          <w:rFonts w:cstheme="minorHAnsi"/>
          <w:b/>
          <w:bCs/>
        </w:rPr>
        <w:t xml:space="preserve">-Barry Sloane, CEO of Newtek Business Services Corp. (NASDAQ:NEWT): </w:t>
      </w:r>
    </w:p>
    <w:p w14:paraId="69C6C386" w14:textId="77777777" w:rsidR="00F77C50" w:rsidRPr="00EB5D42" w:rsidRDefault="00F77C50" w:rsidP="00F77C50">
      <w:pPr>
        <w:rPr>
          <w:rFonts w:cstheme="minorHAnsi"/>
          <w:i/>
          <w:iCs/>
        </w:rPr>
      </w:pPr>
      <w:bookmarkStart w:id="0" w:name="m_-3183017986070530490_m_839012520404408"/>
      <w:r w:rsidRPr="00EB5D42">
        <w:rPr>
          <w:rFonts w:cstheme="minorHAnsi"/>
          <w:i/>
          <w:iCs/>
        </w:rPr>
        <w:t xml:space="preserve">“Advisors will be introduced to a unique 40 act private equity fund.  Once reserved for the </w:t>
      </w:r>
      <w:proofErr w:type="spellStart"/>
      <w:r w:rsidRPr="00EB5D42">
        <w:rPr>
          <w:rFonts w:cstheme="minorHAnsi"/>
          <w:i/>
          <w:iCs/>
        </w:rPr>
        <w:t>ultra high</w:t>
      </w:r>
      <w:proofErr w:type="spellEnd"/>
      <w:r w:rsidRPr="00EB5D42">
        <w:rPr>
          <w:rFonts w:cstheme="minorHAnsi"/>
          <w:i/>
          <w:iCs/>
        </w:rPr>
        <w:t xml:space="preserve"> net worth and institutional investor only, </w:t>
      </w:r>
      <w:proofErr w:type="spellStart"/>
      <w:r w:rsidRPr="00EB5D42">
        <w:rPr>
          <w:rFonts w:cstheme="minorHAnsi"/>
          <w:i/>
          <w:iCs/>
        </w:rPr>
        <w:t>Sharespost</w:t>
      </w:r>
      <w:proofErr w:type="spellEnd"/>
      <w:r w:rsidRPr="00EB5D42">
        <w:rPr>
          <w:rFonts w:cstheme="minorHAnsi"/>
          <w:i/>
          <w:iCs/>
        </w:rPr>
        <w:t xml:space="preserve"> is on a mission to offer all investors the opportunity to access a diversified portfolio of pre-IPO stock of America’s next generation of great companies like SpaceX and 23andMe.</w:t>
      </w:r>
      <w:bookmarkEnd w:id="0"/>
      <w:r w:rsidRPr="00EB5D42">
        <w:rPr>
          <w:rFonts w:cstheme="minorHAnsi"/>
          <w:i/>
          <w:iCs/>
        </w:rPr>
        <w:t>”</w:t>
      </w:r>
    </w:p>
    <w:p w14:paraId="0947CB71" w14:textId="77777777" w:rsidR="00F77C50" w:rsidRPr="00EB5D42" w:rsidRDefault="00F77C50" w:rsidP="00F77C50">
      <w:pPr>
        <w:rPr>
          <w:rFonts w:cstheme="minorHAnsi"/>
          <w:b/>
          <w:bCs/>
        </w:rPr>
      </w:pPr>
      <w:r w:rsidRPr="00EB5D42">
        <w:rPr>
          <w:rFonts w:cstheme="minorHAnsi"/>
          <w:b/>
          <w:bCs/>
        </w:rPr>
        <w:t xml:space="preserve">-Christian </w:t>
      </w:r>
      <w:proofErr w:type="spellStart"/>
      <w:r w:rsidRPr="00EB5D42">
        <w:rPr>
          <w:rFonts w:cstheme="minorHAnsi"/>
          <w:b/>
          <w:bCs/>
        </w:rPr>
        <w:t>Munafo</w:t>
      </w:r>
      <w:proofErr w:type="spellEnd"/>
      <w:r w:rsidRPr="00EB5D42">
        <w:rPr>
          <w:rFonts w:cstheme="minorHAnsi"/>
          <w:b/>
          <w:bCs/>
        </w:rPr>
        <w:t xml:space="preserve">, </w:t>
      </w:r>
      <w:proofErr w:type="spellStart"/>
      <w:r w:rsidRPr="00EB5D42">
        <w:rPr>
          <w:rFonts w:cstheme="minorHAnsi"/>
          <w:b/>
          <w:bCs/>
        </w:rPr>
        <w:t>Sharespost</w:t>
      </w:r>
      <w:proofErr w:type="spellEnd"/>
      <w:r w:rsidRPr="00EB5D42">
        <w:rPr>
          <w:rFonts w:cstheme="minorHAnsi"/>
          <w:b/>
          <w:bCs/>
        </w:rPr>
        <w:t xml:space="preserve"> 100 Fund, Chief Investment Officer and Portfolio Manager</w:t>
      </w:r>
    </w:p>
    <w:p w14:paraId="225466C6" w14:textId="77777777" w:rsidR="00F77C50" w:rsidRPr="00EB5D42" w:rsidRDefault="00F77C50" w:rsidP="00F77C50">
      <w:pPr>
        <w:rPr>
          <w:rFonts w:cstheme="minorHAnsi"/>
          <w:i/>
          <w:iCs/>
        </w:rPr>
      </w:pPr>
      <w:r w:rsidRPr="00EB5D42">
        <w:rPr>
          <w:rFonts w:cstheme="minorHAnsi"/>
        </w:rPr>
        <w:br/>
      </w:r>
      <w:r w:rsidRPr="00EB5D42">
        <w:rPr>
          <w:rFonts w:cstheme="minorHAnsi"/>
          <w:i/>
          <w:iCs/>
        </w:rPr>
        <w:t>“An approach to investing in CEFs that is likely to be successful over the long term.”</w:t>
      </w:r>
    </w:p>
    <w:p w14:paraId="1AF780AA" w14:textId="77777777" w:rsidR="00F77C50" w:rsidRPr="00EB5D42" w:rsidRDefault="00F77C50" w:rsidP="00F77C50">
      <w:pPr>
        <w:rPr>
          <w:rFonts w:cstheme="minorHAnsi"/>
          <w:b/>
          <w:bCs/>
        </w:rPr>
      </w:pPr>
      <w:r w:rsidRPr="00EB5D42">
        <w:rPr>
          <w:rFonts w:cstheme="minorHAnsi"/>
          <w:b/>
          <w:bCs/>
        </w:rPr>
        <w:t> -Phillip Goldstein, Managing Member, Bulldog Investors</w:t>
      </w:r>
    </w:p>
    <w:p w14:paraId="240FBF38" w14:textId="77777777" w:rsidR="00F77C50" w:rsidRPr="00EB5D42" w:rsidRDefault="00F77C50" w:rsidP="00F77C50">
      <w:pPr>
        <w:rPr>
          <w:rFonts w:cstheme="minorHAnsi"/>
          <w:i/>
          <w:iCs/>
        </w:rPr>
      </w:pPr>
      <w:r w:rsidRPr="00EB5D42">
        <w:rPr>
          <w:rFonts w:cstheme="minorHAnsi"/>
          <w:i/>
          <w:iCs/>
        </w:rPr>
        <w:br/>
        <w:t xml:space="preserve">“A greater understanding of Interval Fund structures and their acceptance into the marketplace.” </w:t>
      </w:r>
    </w:p>
    <w:p w14:paraId="0B27896F" w14:textId="6D7FA4BE" w:rsidR="00F77C50" w:rsidRPr="00EB5D42" w:rsidRDefault="00F77C50" w:rsidP="00F77C50">
      <w:pPr>
        <w:rPr>
          <w:rFonts w:cstheme="minorHAnsi"/>
          <w:color w:val="000000"/>
          <w:shd w:val="clear" w:color="auto" w:fill="FFFFFF"/>
        </w:rPr>
      </w:pPr>
      <w:r w:rsidRPr="00EB5D42">
        <w:rPr>
          <w:rFonts w:cstheme="minorHAnsi"/>
          <w:b/>
          <w:bCs/>
        </w:rPr>
        <w:t> -James J. Curry, AVP, Senior Key Account Consultant, Distribution Services | SS&amp;C ALPS</w:t>
      </w:r>
      <w:bookmarkStart w:id="1" w:name="_GoBack"/>
      <w:bookmarkEnd w:id="1"/>
      <w:r w:rsidRPr="00EB5D42">
        <w:rPr>
          <w:rFonts w:cstheme="minorHAnsi"/>
          <w:b/>
          <w:bCs/>
        </w:rPr>
        <w:br/>
      </w:r>
      <w:r w:rsidRPr="00EB5D42">
        <w:rPr>
          <w:rFonts w:cstheme="minorHAnsi"/>
        </w:rPr>
        <w:br/>
        <w:t xml:space="preserve">We hope to see you at our upcoming conference in just under two weeks! As a special benefit for being a reader of  Advisor Perspectives we have a 20% discount code to </w:t>
      </w:r>
      <w:r w:rsidR="00732C7E">
        <w:rPr>
          <w:rFonts w:cstheme="minorHAnsi"/>
        </w:rPr>
        <w:t xml:space="preserve">lower </w:t>
      </w:r>
      <w:r w:rsidRPr="00EB5D42">
        <w:rPr>
          <w:rFonts w:cstheme="minorHAnsi"/>
        </w:rPr>
        <w:t xml:space="preserve">pricing </w:t>
      </w:r>
      <w:r w:rsidR="00732C7E">
        <w:rPr>
          <w:rFonts w:cstheme="minorHAnsi"/>
        </w:rPr>
        <w:t xml:space="preserve">to </w:t>
      </w:r>
      <w:r w:rsidRPr="00EB5D42">
        <w:rPr>
          <w:rFonts w:cstheme="minorHAnsi"/>
        </w:rPr>
        <w:t xml:space="preserve">$199 </w:t>
      </w:r>
      <w:r w:rsidR="00732C7E">
        <w:rPr>
          <w:rFonts w:cstheme="minorHAnsi"/>
        </w:rPr>
        <w:t>from</w:t>
      </w:r>
      <w:r w:rsidRPr="00EB5D42">
        <w:rPr>
          <w:rFonts w:cstheme="minorHAnsi"/>
        </w:rPr>
        <w:t xml:space="preserve"> the regular $249 </w:t>
      </w:r>
      <w:r w:rsidR="00732C7E">
        <w:rPr>
          <w:rFonts w:cstheme="minorHAnsi"/>
        </w:rPr>
        <w:t>rate</w:t>
      </w:r>
      <w:r w:rsidRPr="00EB5D42">
        <w:rPr>
          <w:rFonts w:cstheme="minorHAnsi"/>
        </w:rPr>
        <w:t xml:space="preserve">. The code is: AdvisorPerspectives20%. </w:t>
      </w:r>
      <w:r>
        <w:rPr>
          <w:rFonts w:cstheme="minorHAnsi"/>
        </w:rPr>
        <w:t>V</w:t>
      </w:r>
      <w:r w:rsidRPr="00EB5D42">
        <w:rPr>
          <w:rFonts w:cstheme="minorHAnsi"/>
        </w:rPr>
        <w:t>isit</w:t>
      </w:r>
      <w:r w:rsidRPr="00EB5D42">
        <w:rPr>
          <w:rFonts w:cstheme="minorHAnsi"/>
        </w:rPr>
        <w:t xml:space="preserve"> </w:t>
      </w:r>
      <w:hyperlink r:id="rId7" w:history="1">
        <w:r w:rsidRPr="00EB5D42">
          <w:rPr>
            <w:rStyle w:val="Hyperlink"/>
            <w:rFonts w:cstheme="minorHAnsi"/>
          </w:rPr>
          <w:t>www.AICalliance.org/NYC2019Event</w:t>
        </w:r>
      </w:hyperlink>
      <w:r w:rsidRPr="00EB5D42">
        <w:rPr>
          <w:rFonts w:cstheme="minorHAnsi"/>
          <w:color w:val="000000"/>
          <w:shd w:val="clear" w:color="auto" w:fill="FFFFFF"/>
        </w:rPr>
        <w:t xml:space="preserve">  to register </w:t>
      </w:r>
      <w:r w:rsidRPr="00EB5D42">
        <w:rPr>
          <w:rFonts w:cstheme="minorHAnsi"/>
          <w:color w:val="000000"/>
          <w:shd w:val="clear" w:color="auto" w:fill="FFFFFF"/>
        </w:rPr>
        <w:t xml:space="preserve">and see the full speakers list and conference schedule. </w:t>
      </w:r>
    </w:p>
    <w:p w14:paraId="06D022BF" w14:textId="77777777" w:rsidR="00F77C50" w:rsidRPr="00EB5D42" w:rsidRDefault="00F77C50" w:rsidP="00F77C50">
      <w:pPr>
        <w:rPr>
          <w:rFonts w:cstheme="minorHAnsi"/>
          <w:color w:val="000000"/>
          <w:shd w:val="clear" w:color="auto" w:fill="FFFFFF"/>
        </w:rPr>
      </w:pPr>
      <w:r w:rsidRPr="00EB5D42">
        <w:rPr>
          <w:rFonts w:cstheme="minorHAnsi"/>
          <w:color w:val="000000"/>
          <w:shd w:val="clear" w:color="auto" w:fill="FFFFFF"/>
        </w:rPr>
        <w:t xml:space="preserve">AICA is a new non-profit trade association focused on CEFs / BDCs / </w:t>
      </w:r>
      <w:proofErr w:type="spellStart"/>
      <w:r w:rsidRPr="00EB5D42">
        <w:rPr>
          <w:rFonts w:cstheme="minorHAnsi"/>
          <w:color w:val="000000"/>
          <w:shd w:val="clear" w:color="auto" w:fill="FFFFFF"/>
        </w:rPr>
        <w:t>iCEFs</w:t>
      </w:r>
      <w:proofErr w:type="spellEnd"/>
      <w:r w:rsidRPr="00EB5D42">
        <w:rPr>
          <w:rFonts w:cstheme="minorHAnsi"/>
          <w:color w:val="000000"/>
          <w:shd w:val="clear" w:color="auto" w:fill="FFFFFF"/>
        </w:rPr>
        <w:t xml:space="preserve">. The association’s newly created and recently launched website,  </w:t>
      </w:r>
      <w:hyperlink r:id="rId8" w:tgtFrame="_blank" w:history="1">
        <w:r w:rsidRPr="00EB5D42">
          <w:rPr>
            <w:rStyle w:val="Hyperlink"/>
            <w:rFonts w:cstheme="minorHAnsi"/>
            <w:color w:val="1155CC"/>
          </w:rPr>
          <w:t>www.AICalliance.org</w:t>
        </w:r>
      </w:hyperlink>
      <w:r w:rsidRPr="00EB5D42">
        <w:rPr>
          <w:rFonts w:cstheme="minorHAnsi"/>
          <w:color w:val="000000"/>
          <w:shd w:val="clear" w:color="auto" w:fill="FFFFFF"/>
        </w:rPr>
        <w:t>, aims to become the hub for investors and advisors to gather data, exchange views, and keep track of  these well-established and more-sophisticated fund structures.  </w:t>
      </w:r>
    </w:p>
    <w:p w14:paraId="79D1AE6F" w14:textId="77777777" w:rsidR="00F77C50" w:rsidRPr="00EB5D42" w:rsidRDefault="00F77C50" w:rsidP="00F77C50">
      <w:pPr>
        <w:rPr>
          <w:rFonts w:cstheme="minorHAnsi"/>
          <w:color w:val="000000"/>
          <w:shd w:val="clear" w:color="auto" w:fill="FFFFFF"/>
        </w:rPr>
      </w:pPr>
      <w:r w:rsidRPr="00EB5D42">
        <w:rPr>
          <w:rFonts w:cstheme="minorHAnsi"/>
        </w:rPr>
        <w:t xml:space="preserve">The website has a fund screener, fund profiles, news feed, discussion board and content including our weekly podcast on Fridays, The NAVigator, with </w:t>
      </w:r>
      <w:proofErr w:type="spellStart"/>
      <w:r w:rsidRPr="00EB5D42">
        <w:rPr>
          <w:rFonts w:cstheme="minorHAnsi"/>
        </w:rPr>
        <w:t>MoneyLife</w:t>
      </w:r>
      <w:proofErr w:type="spellEnd"/>
      <w:r w:rsidRPr="00EB5D42">
        <w:rPr>
          <w:rFonts w:cstheme="minorHAnsi"/>
        </w:rPr>
        <w:t xml:space="preserve"> host Chuck Jaffe, which has been going for a month. </w:t>
      </w:r>
      <w:r w:rsidRPr="00EB5D42">
        <w:rPr>
          <w:rFonts w:cstheme="minorHAnsi"/>
          <w:color w:val="000000"/>
          <w:shd w:val="clear" w:color="auto" w:fill="FFFFFF"/>
        </w:rPr>
        <w:t xml:space="preserve"> The NAVigator can be found anywhere you access podcasts, as well as on our website weekly. </w:t>
      </w:r>
    </w:p>
    <w:p w14:paraId="7C1DC93D" w14:textId="7F870002" w:rsidR="00F77C50" w:rsidRPr="00EB5D42" w:rsidRDefault="00732C7E" w:rsidP="00732C7E">
      <w:pPr>
        <w:jc w:val="center"/>
        <w:rPr>
          <w:rFonts w:cstheme="minorHAnsi"/>
          <w:b/>
        </w:rPr>
      </w:pPr>
      <w:r>
        <w:rPr>
          <w:rFonts w:cstheme="minorHAnsi"/>
          <w:b/>
        </w:rPr>
        <w:t>###</w:t>
      </w:r>
    </w:p>
    <w:p w14:paraId="21BEB81F" w14:textId="77777777" w:rsidR="00F77C50" w:rsidRPr="006C142E" w:rsidRDefault="00F77C50" w:rsidP="00F77C50">
      <w:pPr>
        <w:jc w:val="both"/>
        <w:rPr>
          <w:rFonts w:cstheme="minorHAnsi"/>
          <w:sz w:val="16"/>
          <w:szCs w:val="16"/>
        </w:rPr>
      </w:pPr>
      <w:r w:rsidRPr="006C142E">
        <w:rPr>
          <w:rFonts w:cstheme="minorHAnsi"/>
          <w:b/>
          <w:bCs/>
          <w:i/>
          <w:iCs/>
          <w:color w:val="000000"/>
          <w:sz w:val="16"/>
          <w:szCs w:val="16"/>
          <w:bdr w:val="none" w:sz="0" w:space="0" w:color="auto" w:frame="1"/>
        </w:rPr>
        <w:t>AICA's Mission</w:t>
      </w:r>
      <w:r w:rsidRPr="006C142E">
        <w:rPr>
          <w:rFonts w:cstheme="minorHAnsi"/>
          <w:i/>
          <w:iCs/>
          <w:color w:val="000000"/>
          <w:sz w:val="16"/>
          <w:szCs w:val="16"/>
          <w:bdr w:val="none" w:sz="0" w:space="0" w:color="auto" w:frame="1"/>
        </w:rPr>
        <w:t>: The Active Investment Company Alliance (AICA) will be the premier non-profit trade association for listed closed-end funds, business development companies, interval and tender offer funds. Membership will be broad-based globally across fund sponsors (member who run / manage a closed-ended Management company or equivalent), product sponsors; members who run a fund, (open-end, UIT, ETF, CEF, SMA, LP) where the underlying investments are closed-ended management companies), analysts, service providers and the exchanges. We will work to engage, educate and offer transparency for investment professionals and investors, seek to gain better advocacy and guidance from regulators to protect investors and to support quality fund managers and sponsors. This is a global association which will initially focus on the US funds but intends to add Toronto, London and all non-US funds as data in CEFData.com becomes available.</w:t>
      </w:r>
    </w:p>
    <w:p w14:paraId="627D5AF4" w14:textId="1DE48AD8" w:rsidR="00190D1B" w:rsidRPr="00F77C50" w:rsidRDefault="00190D1B" w:rsidP="00F77C50"/>
    <w:sectPr w:rsidR="00190D1B" w:rsidRPr="00F77C50" w:rsidSect="008945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546F" w14:textId="77777777" w:rsidR="007F4040" w:rsidRDefault="00732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1648E" w14:textId="2DBBC1EF" w:rsidR="007F4040" w:rsidRDefault="00732C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AF70" w14:textId="77777777" w:rsidR="007F4040" w:rsidRDefault="00732C7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D832" w14:textId="77777777" w:rsidR="007F4040" w:rsidRDefault="00732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10785" w14:textId="77777777" w:rsidR="007F4040" w:rsidRDefault="00732C7E">
    <w:pPr>
      <w:pStyle w:val="Header"/>
    </w:pPr>
    <w:r>
      <w:rPr>
        <w:noProof/>
      </w:rPr>
      <mc:AlternateContent>
        <mc:Choice Requires="wps">
          <w:drawing>
            <wp:anchor distT="0" distB="0" distL="114300" distR="114300" simplePos="0" relativeHeight="251660288" behindDoc="0" locked="0" layoutInCell="1" allowOverlap="1" wp14:anchorId="50AFB59B" wp14:editId="7FD6ED0C">
              <wp:simplePos x="0" y="0"/>
              <wp:positionH relativeFrom="column">
                <wp:posOffset>-7391400</wp:posOffset>
              </wp:positionH>
              <wp:positionV relativeFrom="paragraph">
                <wp:posOffset>3987800</wp:posOffset>
              </wp:positionV>
              <wp:extent cx="635000" cy="635000"/>
              <wp:effectExtent l="0" t="0" r="0" b="0"/>
              <wp:wrapNone/>
              <wp:docPr id="2" name="zI0j1Z5lBUC"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35000" cy="635000"/>
                      </a:xfrm>
                      <a:prstGeom prst="rect">
                        <a:avLst/>
                      </a:prstGeom>
                      <a:noFill/>
                      <a:ln w="6350">
                        <a:solidFill>
                          <a:prstClr val="black"/>
                        </a:solidFill>
                      </a:ln>
                    </wps:spPr>
                    <wps:txbx>
                      <w:txbxContent>
                        <w:p w14:paraId="1C9780BC" w14:textId="77777777" w:rsidR="007F4040" w:rsidRDefault="00732C7E">
                          <w:r>
                            <w:t>gorave6301merpalert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AFB59B" id="_x0000_t202" coordsize="21600,21600" o:spt="202" path="m,l,21600r21600,l21600,xe">
              <v:stroke joinstyle="miter"/>
              <v:path gradientshapeok="t" o:connecttype="rect"/>
            </v:shapetype>
            <v:shape id="zI0j1Z5lBUC" o:spid="_x0000_s1026" type="#_x0000_t202" style="position:absolute;margin-left:-582pt;margin-top:314pt;width:50pt;height:50pt;z-index:251660288;visibility:hidden;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" filled="f" strokeweight=".5pt">
              <v:path arrowok="t"/>
              <o:lock v:ext="edit" aspectratio="t"/>
              <v:textbox>
                <w:txbxContent>
                  <w:p w14:paraId="1C9780BC" w14:textId="77777777" w:rsidR="007F4040" w:rsidRDefault="00732C7E">
                    <w:r>
                      <w:t>gorave6301merpalert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1C8F" w14:textId="77777777" w:rsidR="007F4040" w:rsidRDefault="00732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37603"/>
    <w:multiLevelType w:val="hybridMultilevel"/>
    <w:tmpl w:val="606C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3F"/>
    <w:rsid w:val="00127E3F"/>
    <w:rsid w:val="00190D1B"/>
    <w:rsid w:val="00315794"/>
    <w:rsid w:val="003E7EB5"/>
    <w:rsid w:val="003F37EF"/>
    <w:rsid w:val="005D1F62"/>
    <w:rsid w:val="00624C8D"/>
    <w:rsid w:val="0062650C"/>
    <w:rsid w:val="006C142E"/>
    <w:rsid w:val="007311B1"/>
    <w:rsid w:val="00732C7E"/>
    <w:rsid w:val="00866A80"/>
    <w:rsid w:val="008945FF"/>
    <w:rsid w:val="00E556DC"/>
    <w:rsid w:val="00E822F2"/>
    <w:rsid w:val="00F7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1902"/>
  <w15:chartTrackingRefBased/>
  <w15:docId w15:val="{FC9A0608-B89F-4813-A153-4CBE0AC5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42E"/>
    <w:rPr>
      <w:color w:val="0563C1" w:themeColor="hyperlink"/>
      <w:u w:val="single"/>
    </w:rPr>
  </w:style>
  <w:style w:type="character" w:styleId="UnresolvedMention">
    <w:name w:val="Unresolved Mention"/>
    <w:basedOn w:val="DefaultParagraphFont"/>
    <w:uiPriority w:val="99"/>
    <w:semiHidden/>
    <w:unhideWhenUsed/>
    <w:rsid w:val="006C142E"/>
    <w:rPr>
      <w:color w:val="605E5C"/>
      <w:shd w:val="clear" w:color="auto" w:fill="E1DFDD"/>
    </w:rPr>
  </w:style>
  <w:style w:type="character" w:styleId="CommentReference">
    <w:name w:val="annotation reference"/>
    <w:basedOn w:val="DefaultParagraphFont"/>
    <w:uiPriority w:val="99"/>
    <w:semiHidden/>
    <w:unhideWhenUsed/>
    <w:rsid w:val="00F77C50"/>
    <w:rPr>
      <w:sz w:val="16"/>
      <w:szCs w:val="16"/>
    </w:rPr>
  </w:style>
  <w:style w:type="paragraph" w:styleId="CommentText">
    <w:name w:val="annotation text"/>
    <w:basedOn w:val="Normal"/>
    <w:link w:val="CommentTextChar"/>
    <w:uiPriority w:val="99"/>
    <w:semiHidden/>
    <w:unhideWhenUsed/>
    <w:rsid w:val="00F77C50"/>
    <w:pPr>
      <w:spacing w:line="240" w:lineRule="auto"/>
    </w:pPr>
    <w:rPr>
      <w:sz w:val="20"/>
      <w:szCs w:val="20"/>
    </w:rPr>
  </w:style>
  <w:style w:type="character" w:customStyle="1" w:styleId="CommentTextChar">
    <w:name w:val="Comment Text Char"/>
    <w:basedOn w:val="DefaultParagraphFont"/>
    <w:link w:val="CommentText"/>
    <w:uiPriority w:val="99"/>
    <w:semiHidden/>
    <w:rsid w:val="00F77C50"/>
    <w:rPr>
      <w:sz w:val="20"/>
      <w:szCs w:val="20"/>
    </w:rPr>
  </w:style>
  <w:style w:type="paragraph" w:styleId="ListParagraph">
    <w:name w:val="List Paragraph"/>
    <w:basedOn w:val="Normal"/>
    <w:uiPriority w:val="34"/>
    <w:qFormat/>
    <w:rsid w:val="00F77C50"/>
    <w:pPr>
      <w:ind w:left="720"/>
      <w:contextualSpacing/>
    </w:pPr>
  </w:style>
  <w:style w:type="paragraph" w:styleId="Header">
    <w:name w:val="header"/>
    <w:basedOn w:val="Normal"/>
    <w:link w:val="HeaderChar"/>
    <w:uiPriority w:val="99"/>
    <w:unhideWhenUsed/>
    <w:rsid w:val="00F77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C50"/>
  </w:style>
  <w:style w:type="paragraph" w:styleId="Footer">
    <w:name w:val="footer"/>
    <w:basedOn w:val="Normal"/>
    <w:link w:val="FooterChar"/>
    <w:uiPriority w:val="99"/>
    <w:unhideWhenUsed/>
    <w:rsid w:val="00F77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C50"/>
  </w:style>
  <w:style w:type="paragraph" w:styleId="BalloonText">
    <w:name w:val="Balloon Text"/>
    <w:basedOn w:val="Normal"/>
    <w:link w:val="BalloonTextChar"/>
    <w:uiPriority w:val="99"/>
    <w:semiHidden/>
    <w:unhideWhenUsed/>
    <w:rsid w:val="003E7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2712">
      <w:bodyDiv w:val="1"/>
      <w:marLeft w:val="0"/>
      <w:marRight w:val="0"/>
      <w:marTop w:val="0"/>
      <w:marBottom w:val="0"/>
      <w:divBdr>
        <w:top w:val="none" w:sz="0" w:space="0" w:color="auto"/>
        <w:left w:val="none" w:sz="0" w:space="0" w:color="auto"/>
        <w:bottom w:val="none" w:sz="0" w:space="0" w:color="auto"/>
        <w:right w:val="none" w:sz="0" w:space="0" w:color="auto"/>
      </w:divBdr>
    </w:div>
    <w:div w:id="825123409">
      <w:bodyDiv w:val="1"/>
      <w:marLeft w:val="0"/>
      <w:marRight w:val="0"/>
      <w:marTop w:val="0"/>
      <w:marBottom w:val="0"/>
      <w:divBdr>
        <w:top w:val="none" w:sz="0" w:space="0" w:color="auto"/>
        <w:left w:val="none" w:sz="0" w:space="0" w:color="auto"/>
        <w:bottom w:val="none" w:sz="0" w:space="0" w:color="auto"/>
        <w:right w:val="none" w:sz="0" w:space="0" w:color="auto"/>
      </w:divBdr>
    </w:div>
    <w:div w:id="831914639">
      <w:bodyDiv w:val="1"/>
      <w:marLeft w:val="0"/>
      <w:marRight w:val="0"/>
      <w:marTop w:val="0"/>
      <w:marBottom w:val="0"/>
      <w:divBdr>
        <w:top w:val="none" w:sz="0" w:space="0" w:color="auto"/>
        <w:left w:val="none" w:sz="0" w:space="0" w:color="auto"/>
        <w:bottom w:val="none" w:sz="0" w:space="0" w:color="auto"/>
        <w:right w:val="none" w:sz="0" w:space="0" w:color="auto"/>
      </w:divBdr>
    </w:div>
    <w:div w:id="1027218045">
      <w:bodyDiv w:val="1"/>
      <w:marLeft w:val="0"/>
      <w:marRight w:val="0"/>
      <w:marTop w:val="0"/>
      <w:marBottom w:val="0"/>
      <w:divBdr>
        <w:top w:val="none" w:sz="0" w:space="0" w:color="auto"/>
        <w:left w:val="none" w:sz="0" w:space="0" w:color="auto"/>
        <w:bottom w:val="none" w:sz="0" w:space="0" w:color="auto"/>
        <w:right w:val="none" w:sz="0" w:space="0" w:color="auto"/>
      </w:divBdr>
    </w:div>
    <w:div w:id="1166017081">
      <w:bodyDiv w:val="1"/>
      <w:marLeft w:val="0"/>
      <w:marRight w:val="0"/>
      <w:marTop w:val="0"/>
      <w:marBottom w:val="0"/>
      <w:divBdr>
        <w:top w:val="none" w:sz="0" w:space="0" w:color="auto"/>
        <w:left w:val="none" w:sz="0" w:space="0" w:color="auto"/>
        <w:bottom w:val="none" w:sz="0" w:space="0" w:color="auto"/>
        <w:right w:val="none" w:sz="0" w:space="0" w:color="auto"/>
      </w:divBdr>
    </w:div>
    <w:div w:id="1337463669">
      <w:bodyDiv w:val="1"/>
      <w:marLeft w:val="0"/>
      <w:marRight w:val="0"/>
      <w:marTop w:val="0"/>
      <w:marBottom w:val="0"/>
      <w:divBdr>
        <w:top w:val="none" w:sz="0" w:space="0" w:color="auto"/>
        <w:left w:val="none" w:sz="0" w:space="0" w:color="auto"/>
        <w:bottom w:val="none" w:sz="0" w:space="0" w:color="auto"/>
        <w:right w:val="none" w:sz="0" w:space="0" w:color="auto"/>
      </w:divBdr>
      <w:divsChild>
        <w:div w:id="1923681753">
          <w:marLeft w:val="0"/>
          <w:marRight w:val="0"/>
          <w:marTop w:val="0"/>
          <w:marBottom w:val="0"/>
          <w:divBdr>
            <w:top w:val="none" w:sz="0" w:space="0" w:color="auto"/>
            <w:left w:val="none" w:sz="0" w:space="0" w:color="auto"/>
            <w:bottom w:val="none" w:sz="0" w:space="0" w:color="auto"/>
            <w:right w:val="none" w:sz="0" w:space="0" w:color="auto"/>
          </w:divBdr>
        </w:div>
      </w:divsChild>
    </w:div>
    <w:div w:id="1679844800">
      <w:bodyDiv w:val="1"/>
      <w:marLeft w:val="0"/>
      <w:marRight w:val="0"/>
      <w:marTop w:val="0"/>
      <w:marBottom w:val="0"/>
      <w:divBdr>
        <w:top w:val="none" w:sz="0" w:space="0" w:color="auto"/>
        <w:left w:val="none" w:sz="0" w:space="0" w:color="auto"/>
        <w:bottom w:val="none" w:sz="0" w:space="0" w:color="auto"/>
        <w:right w:val="none" w:sz="0" w:space="0" w:color="auto"/>
      </w:divBdr>
    </w:div>
    <w:div w:id="1825773529">
      <w:bodyDiv w:val="1"/>
      <w:marLeft w:val="0"/>
      <w:marRight w:val="0"/>
      <w:marTop w:val="0"/>
      <w:marBottom w:val="0"/>
      <w:divBdr>
        <w:top w:val="none" w:sz="0" w:space="0" w:color="auto"/>
        <w:left w:val="none" w:sz="0" w:space="0" w:color="auto"/>
        <w:bottom w:val="none" w:sz="0" w:space="0" w:color="auto"/>
        <w:right w:val="none" w:sz="0" w:space="0" w:color="auto"/>
      </w:divBdr>
    </w:div>
    <w:div w:id="1944537196">
      <w:bodyDiv w:val="1"/>
      <w:marLeft w:val="0"/>
      <w:marRight w:val="0"/>
      <w:marTop w:val="0"/>
      <w:marBottom w:val="0"/>
      <w:divBdr>
        <w:top w:val="none" w:sz="0" w:space="0" w:color="auto"/>
        <w:left w:val="none" w:sz="0" w:space="0" w:color="auto"/>
        <w:bottom w:val="none" w:sz="0" w:space="0" w:color="auto"/>
        <w:right w:val="none" w:sz="0" w:space="0" w:color="auto"/>
      </w:divBdr>
    </w:div>
    <w:div w:id="205168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allianc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hyperlink" Target="http://www.AICalliance.org/NYC2019Event" TargetMode="Externa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icalliance.org/NYC2019Event"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F1FCC-94A2-42D2-AF94-70762E58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Cole Scott</dc:creator>
  <cp:keywords/>
  <dc:description/>
  <cp:lastModifiedBy>John Cole Scott</cp:lastModifiedBy>
  <cp:revision>4</cp:revision>
  <cp:lastPrinted>2019-10-24T17:30:00Z</cp:lastPrinted>
  <dcterms:created xsi:type="dcterms:W3CDTF">2019-10-24T15:46:00Z</dcterms:created>
  <dcterms:modified xsi:type="dcterms:W3CDTF">2019-10-24T17:37:00Z</dcterms:modified>
</cp:coreProperties>
</file>